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B5DA" w14:textId="29129ABE" w:rsidR="000C1C4E" w:rsidRPr="007156A4" w:rsidRDefault="000C1C4E" w:rsidP="000C1C4E">
      <w:pPr>
        <w:spacing w:after="139" w:line="259" w:lineRule="auto"/>
        <w:ind w:right="1" w:firstLine="6946"/>
        <w:jc w:val="center"/>
        <w:rPr>
          <w:rFonts w:asciiTheme="minorHAnsi" w:hAnsiTheme="minorHAnsi"/>
          <w:b/>
        </w:rPr>
      </w:pPr>
      <w:r w:rsidRPr="007156A4">
        <w:rPr>
          <w:rFonts w:asciiTheme="minorHAnsi" w:hAnsiTheme="minorHAnsi"/>
          <w:b/>
        </w:rPr>
        <w:t>Załącznik nr 17.1</w:t>
      </w:r>
    </w:p>
    <w:p w14:paraId="795441E9" w14:textId="77777777" w:rsidR="000C1C4E" w:rsidRPr="007156A4" w:rsidRDefault="000C1C4E" w:rsidP="000C1C4E">
      <w:pPr>
        <w:spacing w:after="139" w:line="259" w:lineRule="auto"/>
        <w:ind w:right="1"/>
        <w:jc w:val="center"/>
        <w:rPr>
          <w:rFonts w:asciiTheme="minorHAnsi" w:hAnsiTheme="minorHAnsi"/>
          <w:b/>
        </w:rPr>
      </w:pPr>
    </w:p>
    <w:p w14:paraId="3071800E" w14:textId="77777777" w:rsidR="000C1C4E" w:rsidRPr="007156A4" w:rsidRDefault="000C1C4E" w:rsidP="000C1C4E">
      <w:pPr>
        <w:spacing w:after="139" w:line="259" w:lineRule="auto"/>
        <w:ind w:right="1"/>
        <w:jc w:val="center"/>
        <w:rPr>
          <w:rFonts w:asciiTheme="minorHAnsi" w:hAnsiTheme="minorHAnsi"/>
          <w:b/>
        </w:rPr>
      </w:pPr>
    </w:p>
    <w:p w14:paraId="3DFC325A" w14:textId="77777777" w:rsidR="000C1C4E" w:rsidRPr="007156A4" w:rsidRDefault="000C1C4E" w:rsidP="000C1C4E">
      <w:pPr>
        <w:spacing w:after="139" w:line="259" w:lineRule="auto"/>
        <w:ind w:right="1"/>
        <w:jc w:val="center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Karta Produktu Mikropożyczka </w:t>
      </w:r>
    </w:p>
    <w:p w14:paraId="0F247C7E" w14:textId="77777777" w:rsidR="000C1C4E" w:rsidRPr="007156A4" w:rsidRDefault="000C1C4E" w:rsidP="000C1C4E">
      <w:pPr>
        <w:spacing w:after="172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 </w:t>
      </w:r>
    </w:p>
    <w:p w14:paraId="05C8A06E" w14:textId="77777777" w:rsidR="000C1C4E" w:rsidRPr="007156A4" w:rsidRDefault="000C1C4E" w:rsidP="000C1C4E">
      <w:pPr>
        <w:pStyle w:val="Nagwek1"/>
        <w:spacing w:after="165" w:line="266" w:lineRule="auto"/>
        <w:ind w:left="413" w:right="0" w:hanging="428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Podstawowe parametry Mikropożyczki </w:t>
      </w:r>
    </w:p>
    <w:p w14:paraId="7CBF4757" w14:textId="1E82AC83" w:rsidR="000C1C4E" w:rsidRPr="007156A4" w:rsidRDefault="000C1C4E" w:rsidP="000C1C4E">
      <w:pPr>
        <w:numPr>
          <w:ilvl w:val="0"/>
          <w:numId w:val="11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>Wartość Mikropożyczki wynosi do 100 000,00</w:t>
      </w:r>
      <w:r w:rsidR="007729AD" w:rsidRPr="007156A4">
        <w:rPr>
          <w:rFonts w:asciiTheme="minorHAnsi" w:hAnsiTheme="minorHAnsi"/>
        </w:rPr>
        <w:t xml:space="preserve"> zł</w:t>
      </w:r>
      <w:r w:rsidRPr="007156A4">
        <w:rPr>
          <w:rFonts w:asciiTheme="minorHAnsi" w:hAnsiTheme="minorHAnsi"/>
        </w:rPr>
        <w:t xml:space="preserve">. </w:t>
      </w:r>
    </w:p>
    <w:p w14:paraId="5120DB53" w14:textId="77777777" w:rsidR="000C1C4E" w:rsidRPr="007156A4" w:rsidRDefault="000C1C4E" w:rsidP="000C1C4E">
      <w:pPr>
        <w:numPr>
          <w:ilvl w:val="0"/>
          <w:numId w:val="11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Wkład własny Ostatecznego Odbiorcy nie jest wymagany. </w:t>
      </w:r>
    </w:p>
    <w:p w14:paraId="748AEFC4" w14:textId="77777777" w:rsidR="000C1C4E" w:rsidRPr="007156A4" w:rsidRDefault="000C1C4E" w:rsidP="000C1C4E">
      <w:pPr>
        <w:numPr>
          <w:ilvl w:val="0"/>
          <w:numId w:val="11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Maksymalny termin na wypłatę całkowitej kwoty Mikropożyczki Ostatecznemu Odbiorcy wynosi 90 dni kalendarzowych od dnia zawarcia Umowy Inwestycyjnej.  </w:t>
      </w:r>
    </w:p>
    <w:p w14:paraId="111D32A2" w14:textId="53F079AD" w:rsidR="000C1C4E" w:rsidRPr="007156A4" w:rsidRDefault="000C1C4E" w:rsidP="000C1C4E">
      <w:pPr>
        <w:numPr>
          <w:ilvl w:val="0"/>
          <w:numId w:val="11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>Maksymalny okres spłaty Mikropożyczki nie może być dłuższy niż 60 miesięc</w:t>
      </w:r>
      <w:r w:rsidR="00253C98" w:rsidRPr="007156A4">
        <w:rPr>
          <w:rFonts w:asciiTheme="minorHAnsi" w:hAnsiTheme="minorHAnsi"/>
        </w:rPr>
        <w:t>y, od momentu jej uruchomienia,</w:t>
      </w:r>
      <w:r w:rsidR="00253C98" w:rsidRPr="007156A4">
        <w:rPr>
          <w:rFonts w:asciiTheme="minorHAnsi" w:hAnsiTheme="minorHAnsi"/>
        </w:rPr>
        <w:br/>
      </w:r>
      <w:r w:rsidRPr="007156A4">
        <w:rPr>
          <w:rFonts w:asciiTheme="minorHAnsi" w:hAnsiTheme="minorHAnsi"/>
        </w:rPr>
        <w:t xml:space="preserve">tj. wypłaty jakiejkolwiek kwoty Mikropożyczki. </w:t>
      </w:r>
    </w:p>
    <w:p w14:paraId="282C3137" w14:textId="77777777" w:rsidR="000C1C4E" w:rsidRPr="007156A4" w:rsidRDefault="000C1C4E" w:rsidP="000C1C4E">
      <w:pPr>
        <w:numPr>
          <w:ilvl w:val="0"/>
          <w:numId w:val="11"/>
        </w:numPr>
        <w:spacing w:after="128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Maksymalna karencja w spłacie kapitału Mikropożyczki wynosi 6 miesięcy od dnia jej uruchomienia, przy czym karencja nie wydłuża okresu spłaty Mikropożyczki.  </w:t>
      </w:r>
    </w:p>
    <w:p w14:paraId="4268E5F2" w14:textId="77777777" w:rsidR="000C1C4E" w:rsidRPr="007156A4" w:rsidRDefault="000C1C4E" w:rsidP="000C1C4E">
      <w:pPr>
        <w:spacing w:after="172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 </w:t>
      </w:r>
    </w:p>
    <w:p w14:paraId="4D4A3C05" w14:textId="77777777" w:rsidR="000C1C4E" w:rsidRPr="007156A4" w:rsidRDefault="000C1C4E" w:rsidP="000C1C4E">
      <w:pPr>
        <w:pStyle w:val="Nagwek1"/>
        <w:spacing w:after="165" w:line="266" w:lineRule="auto"/>
        <w:ind w:left="413" w:right="0" w:hanging="428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Zasady dotyczące udzielania i udokumentowania Mikropożyczki </w:t>
      </w:r>
    </w:p>
    <w:p w14:paraId="33ED741E" w14:textId="71B56019" w:rsidR="000C1C4E" w:rsidRPr="007156A4" w:rsidRDefault="000C1C4E" w:rsidP="000C1C4E">
      <w:pPr>
        <w:numPr>
          <w:ilvl w:val="0"/>
          <w:numId w:val="12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>Udzielenie Mikropożyczki</w:t>
      </w:r>
      <w:r w:rsidR="00D42587">
        <w:rPr>
          <w:rFonts w:asciiTheme="minorHAnsi" w:hAnsiTheme="minorHAnsi"/>
        </w:rPr>
        <w:t xml:space="preserve"> </w:t>
      </w:r>
      <w:r w:rsidRPr="007156A4">
        <w:rPr>
          <w:rFonts w:asciiTheme="minorHAnsi" w:hAnsiTheme="minorHAnsi"/>
        </w:rPr>
        <w:t>nie może być uzależnione od zawarcia przez Ostatecznego Odbiorcę dodatkowych umów (w szczególności dotyczących zakupu dodatkowych usług, produktów finansowych lub ubezpieczeniowych) z [</w:t>
      </w:r>
      <w:r w:rsidRPr="007156A4">
        <w:rPr>
          <w:rFonts w:asciiTheme="minorHAnsi" w:hAnsiTheme="minorHAnsi"/>
          <w:i/>
        </w:rPr>
        <w:t>Nazwa Pośrednika Finansowego</w:t>
      </w:r>
      <w:r w:rsidRPr="007156A4">
        <w:rPr>
          <w:rFonts w:asciiTheme="minorHAnsi" w:hAnsiTheme="minorHAnsi"/>
        </w:rPr>
        <w:t>] lub podmiotem partnerskim lub powiązanym w stosunku do [</w:t>
      </w:r>
      <w:r w:rsidRPr="007156A4">
        <w:rPr>
          <w:rFonts w:asciiTheme="minorHAnsi" w:hAnsiTheme="minorHAnsi"/>
          <w:i/>
        </w:rPr>
        <w:t>Nazwa Pośrednika Finansowego</w:t>
      </w:r>
      <w:r w:rsidRPr="007156A4">
        <w:rPr>
          <w:rFonts w:asciiTheme="minorHAnsi" w:hAnsiTheme="minorHAnsi"/>
        </w:rPr>
        <w:t>]; powyższe nie dotyczy powszechnie występujących na rynku oraz standardowo stosowanych przez [</w:t>
      </w:r>
      <w:r w:rsidRPr="007156A4">
        <w:rPr>
          <w:rFonts w:asciiTheme="minorHAnsi" w:hAnsiTheme="minorHAnsi"/>
          <w:i/>
        </w:rPr>
        <w:t>Nazwa Pośrednika Finansowego</w:t>
      </w:r>
      <w:r w:rsidRPr="007156A4">
        <w:rPr>
          <w:rFonts w:asciiTheme="minorHAnsi" w:hAnsiTheme="minorHAnsi"/>
        </w:rPr>
        <w:t>] zabezpieczeń ustanawianych przez Ostatecznego Odbiorcę na rzecz [</w:t>
      </w:r>
      <w:r w:rsidRPr="007156A4">
        <w:rPr>
          <w:rFonts w:asciiTheme="minorHAnsi" w:hAnsiTheme="minorHAnsi"/>
          <w:i/>
        </w:rPr>
        <w:t>Nazwa Pośrednika Finansowego</w:t>
      </w:r>
      <w:r w:rsidRPr="007156A4">
        <w:rPr>
          <w:rFonts w:asciiTheme="minorHAnsi" w:hAnsiTheme="minorHAnsi"/>
        </w:rPr>
        <w:t xml:space="preserve">] w związku z zawieraną Umową Inwestycyjną, z zastrzeżeniem, iż w przypadku zabezpieczenia takiego jak „cesja praw z polisy ubezpieczeniowej” Ostateczny Odbiorca ma możliwość wyboru oferty spośród ubezpieczycieli dostępnych na rynku. </w:t>
      </w:r>
    </w:p>
    <w:p w14:paraId="378C76BE" w14:textId="77777777" w:rsidR="000C1C4E" w:rsidRPr="007156A4" w:rsidRDefault="000C1C4E" w:rsidP="000C1C4E">
      <w:pPr>
        <w:numPr>
          <w:ilvl w:val="0"/>
          <w:numId w:val="12"/>
        </w:numPr>
        <w:spacing w:after="128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Wydatkowanie środków Mikropożyczki musi zostać należycie udokumentowane w terminie do 90 dni od jej uruchomienia. W uzasadnionych przypadkach i na wniosek Ostatecznego Odbiorcy termin ten może uleć wydłużeniu maksymalnie o kolejne 90 dni ze względu na charakter inwestycji. Dokumentem potwierdzającym wydatkowanie środków zgodnie z celem, na jaki zostały przyznane jest faktura lub dokument równoważny, w rozumieniu przepisów prawa krajowego. </w:t>
      </w:r>
    </w:p>
    <w:p w14:paraId="22B43AAE" w14:textId="77777777" w:rsidR="000C1C4E" w:rsidRPr="007156A4" w:rsidRDefault="000C1C4E" w:rsidP="000C1C4E">
      <w:pPr>
        <w:spacing w:after="172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 </w:t>
      </w:r>
    </w:p>
    <w:p w14:paraId="773BEF03" w14:textId="77777777" w:rsidR="000C1C4E" w:rsidRPr="007156A4" w:rsidRDefault="000C1C4E" w:rsidP="000C1C4E">
      <w:pPr>
        <w:pStyle w:val="Nagwek1"/>
        <w:spacing w:after="165" w:line="266" w:lineRule="auto"/>
        <w:ind w:left="705" w:right="0" w:hanging="720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Przeznaczenie finansowania (Cele Inwestycji) </w:t>
      </w:r>
    </w:p>
    <w:p w14:paraId="514D4312" w14:textId="77777777" w:rsidR="000C1C4E" w:rsidRPr="007156A4" w:rsidRDefault="000C1C4E" w:rsidP="000C1C4E">
      <w:pPr>
        <w:numPr>
          <w:ilvl w:val="0"/>
          <w:numId w:val="13"/>
        </w:numPr>
        <w:spacing w:after="128" w:line="267" w:lineRule="auto"/>
        <w:ind w:hanging="36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 ramach Instrumentu Finansowego finansowane będą przedsięwzięcia Ostatecznego Odbiorcy przyczyniające się do tworzenia warunków sprzyjających budowie konkurencyjnego sektora MŚP na terenie województwa zachodniopomorskiego. </w:t>
      </w:r>
    </w:p>
    <w:p w14:paraId="1C12E27B" w14:textId="77777777" w:rsidR="000C1C4E" w:rsidRPr="007156A4" w:rsidRDefault="000C1C4E" w:rsidP="000C1C4E">
      <w:pPr>
        <w:numPr>
          <w:ilvl w:val="0"/>
          <w:numId w:val="13"/>
        </w:numPr>
        <w:spacing w:after="162" w:line="267" w:lineRule="auto"/>
        <w:ind w:hanging="36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Wsparcie może obejmować inwestycje zarówno w środki trwałe, jak i wartości niematerialne i prawne, jak również kapitał obrotowy pod warunkiem, że będzie on powiązany z działalnością inwestycyjną lub dalszą ekspansją przedsiębiorstwa, na które zostało przyznane finansowanie.  </w:t>
      </w:r>
    </w:p>
    <w:p w14:paraId="1B875377" w14:textId="77777777" w:rsidR="000C1C4E" w:rsidRPr="007156A4" w:rsidRDefault="000C1C4E" w:rsidP="000C1C4E">
      <w:pPr>
        <w:numPr>
          <w:ilvl w:val="0"/>
          <w:numId w:val="13"/>
        </w:numPr>
        <w:spacing w:after="94" w:line="267" w:lineRule="auto"/>
        <w:ind w:hanging="36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Udział Jednostkowej Mikropożyczki w koszcie realizowanego przedsięwzięcia rozwojowego może stanowić do 100% jego wartości. </w:t>
      </w:r>
    </w:p>
    <w:p w14:paraId="3199BA59" w14:textId="77777777" w:rsidR="000C1C4E" w:rsidRPr="007156A4" w:rsidRDefault="000C1C4E" w:rsidP="000C1C4E">
      <w:pPr>
        <w:spacing w:after="52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</w:rPr>
        <w:lastRenderedPageBreak/>
        <w:t xml:space="preserve"> </w:t>
      </w:r>
    </w:p>
    <w:p w14:paraId="718EB20F" w14:textId="77777777" w:rsidR="000C1C4E" w:rsidRPr="007156A4" w:rsidRDefault="000C1C4E" w:rsidP="000C1C4E">
      <w:pPr>
        <w:pStyle w:val="Nagwek1"/>
        <w:spacing w:after="165" w:line="266" w:lineRule="auto"/>
        <w:ind w:left="413" w:right="0" w:hanging="428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Wykluczenia z finansowania </w:t>
      </w:r>
      <w:bookmarkStart w:id="0" w:name="_GoBack"/>
      <w:bookmarkEnd w:id="0"/>
    </w:p>
    <w:p w14:paraId="0A51DF77" w14:textId="77777777" w:rsidR="000C1C4E" w:rsidRPr="007156A4" w:rsidRDefault="000C1C4E" w:rsidP="000C1C4E">
      <w:pPr>
        <w:rPr>
          <w:rFonts w:asciiTheme="minorHAnsi" w:hAnsiTheme="minorHAnsi"/>
        </w:rPr>
      </w:pPr>
      <w:r w:rsidRPr="007156A4">
        <w:rPr>
          <w:rFonts w:asciiTheme="minorHAnsi" w:hAnsiTheme="minorHAnsi"/>
        </w:rPr>
        <w:t>1.</w:t>
      </w:r>
      <w:r w:rsidRPr="007156A4">
        <w:rPr>
          <w:rFonts w:asciiTheme="minorHAnsi" w:eastAsia="Arial" w:hAnsiTheme="minorHAnsi" w:cs="Arial"/>
        </w:rPr>
        <w:t xml:space="preserve"> </w:t>
      </w:r>
      <w:r w:rsidRPr="007156A4">
        <w:rPr>
          <w:rFonts w:asciiTheme="minorHAnsi" w:hAnsiTheme="minorHAnsi"/>
        </w:rPr>
        <w:t xml:space="preserve">W ramach Mikropożyczki nie mogą być finansowane obszary wykluczone ze wsparcia wskazane: </w:t>
      </w:r>
      <w:r w:rsidRPr="007156A4">
        <w:rPr>
          <w:rFonts w:asciiTheme="minorHAnsi" w:hAnsiTheme="minorHAnsi"/>
          <w:b/>
        </w:rPr>
        <w:t>1)</w:t>
      </w:r>
      <w:r w:rsidRPr="007156A4">
        <w:rPr>
          <w:rFonts w:asciiTheme="minorHAnsi" w:hAnsiTheme="minorHAnsi"/>
        </w:rPr>
        <w:t xml:space="preserve"> w art. 1 ust. 2-5 Rozporządzenia Komisji (UE) nr 651/2014 z dnia 17 czerwca 2014 r. uznającym niektóre rodzaje pomocy za zgodne z rynkiem wewnętrznym w zastosowaniu art. 107 i 108 Traktatu, </w:t>
      </w:r>
      <w:r w:rsidRPr="007156A4">
        <w:rPr>
          <w:rFonts w:asciiTheme="minorHAnsi" w:hAnsiTheme="minorHAnsi"/>
          <w:b/>
        </w:rPr>
        <w:t>2)</w:t>
      </w:r>
      <w:r w:rsidRPr="007156A4">
        <w:rPr>
          <w:rFonts w:asciiTheme="minorHAnsi" w:hAnsiTheme="minorHAnsi"/>
        </w:rPr>
        <w:t xml:space="preserve">  w Rozporządzeniu Komisji (UE) nr 1407/2013 z dnia 18 grudnia 2013 r. w sprawie stosowania art. 107 i 108 Traktatu o funkcjonowaniu Unii Europejskiej do pomocy de minimis, </w:t>
      </w:r>
      <w:r w:rsidRPr="007156A4">
        <w:rPr>
          <w:rFonts w:asciiTheme="minorHAnsi" w:hAnsiTheme="minorHAnsi"/>
          <w:b/>
        </w:rPr>
        <w:t>3)</w:t>
      </w:r>
      <w:r w:rsidRPr="007156A4">
        <w:rPr>
          <w:rFonts w:asciiTheme="minorHAnsi" w:hAnsiTheme="minorHAnsi"/>
        </w:rPr>
        <w:t xml:space="preserve"> w Umowie Partnerstwa, a w szczególności: </w:t>
      </w:r>
    </w:p>
    <w:p w14:paraId="01F68F02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6AD8EABC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refinansowanie inwestycji, które w dniu podjęcia decyzji inwestycyjnej zostały fizycznie ukończone lub w pełni wdrożone; </w:t>
      </w:r>
    </w:p>
    <w:p w14:paraId="1EB2122E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refinansowanie jakichkolwiek pożyczek, kredytów lub rat leasingowych; </w:t>
      </w:r>
    </w:p>
    <w:p w14:paraId="30703E10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dokonanie spłaty zobowiązań </w:t>
      </w:r>
      <w:proofErr w:type="spellStart"/>
      <w:r w:rsidRPr="007156A4">
        <w:rPr>
          <w:rFonts w:asciiTheme="minorHAnsi" w:hAnsiTheme="minorHAnsi"/>
        </w:rPr>
        <w:t>publiczno</w:t>
      </w:r>
      <w:proofErr w:type="spellEnd"/>
      <w:r w:rsidRPr="007156A4">
        <w:rPr>
          <w:rFonts w:asciiTheme="minorHAnsi" w:hAnsiTheme="minorHAnsi"/>
        </w:rPr>
        <w:t xml:space="preserve"> – prawnych Ostatecznego Odbiorcy; </w:t>
      </w:r>
    </w:p>
    <w:p w14:paraId="5D09AD00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wydatków niezwiązanych bezpośrednio z Celem Inwestycji;  </w:t>
      </w:r>
    </w:p>
    <w:p w14:paraId="573EB3E3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1B87F1F8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wytwarzania, przetwórstwa lub wprowadzania do obrotu przez producenta lub importera tytoniu i wyrobów tytoniowych;  </w:t>
      </w:r>
    </w:p>
    <w:p w14:paraId="495A7D27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produkcji lub wprowadzania do obrotu przez producenta lub importera napojów alkoholowych; </w:t>
      </w:r>
    </w:p>
    <w:p w14:paraId="2F8014A4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produkcji lub wprowadzania do obrotu przez producenta lub importera treści pornograficznych; </w:t>
      </w:r>
    </w:p>
    <w:p w14:paraId="5FA49864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obrotu materiałami wybuchowymi, bronią i amunicją; </w:t>
      </w:r>
    </w:p>
    <w:p w14:paraId="487712BD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gier losowych, zakładów wzajemnych, gier na automatach i gier na automatach o niskich wygranych; </w:t>
      </w:r>
    </w:p>
    <w:p w14:paraId="1B16B168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50A0A6F7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likwidacji lub budowy elektrowni jądrowych; </w:t>
      </w:r>
    </w:p>
    <w:p w14:paraId="3E3236CF" w14:textId="77777777" w:rsidR="000C1C4E" w:rsidRPr="007156A4" w:rsidRDefault="000C1C4E" w:rsidP="000C1C4E">
      <w:pPr>
        <w:numPr>
          <w:ilvl w:val="0"/>
          <w:numId w:val="14"/>
        </w:numPr>
        <w:spacing w:after="162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inwestycji na rzecz redukcji emisji gazów cieplarnianych pochodzących z listy działań wymienionych w załączniku I do dyrektywy 2003/87/WE; </w:t>
      </w:r>
    </w:p>
    <w:p w14:paraId="276D7E50" w14:textId="77777777" w:rsidR="000C1C4E" w:rsidRPr="007156A4" w:rsidRDefault="000C1C4E" w:rsidP="000C1C4E">
      <w:pPr>
        <w:numPr>
          <w:ilvl w:val="0"/>
          <w:numId w:val="14"/>
        </w:numPr>
        <w:spacing w:after="124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inwestycji z zakresu budowy sieci szerokopasmowych; </w:t>
      </w:r>
    </w:p>
    <w:p w14:paraId="2E93981C" w14:textId="77777777" w:rsidR="000C1C4E" w:rsidRPr="007156A4" w:rsidRDefault="000C1C4E" w:rsidP="000C1C4E">
      <w:pPr>
        <w:numPr>
          <w:ilvl w:val="0"/>
          <w:numId w:val="14"/>
        </w:numPr>
        <w:spacing w:after="128" w:line="267" w:lineRule="auto"/>
        <w:ind w:hanging="427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6F3F23DD" w14:textId="77777777" w:rsidR="000C1C4E" w:rsidRPr="007156A4" w:rsidRDefault="000C1C4E" w:rsidP="000C1C4E">
      <w:pPr>
        <w:spacing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</w:t>
      </w:r>
    </w:p>
    <w:p w14:paraId="644FD03E" w14:textId="77777777" w:rsidR="000C1C4E" w:rsidRPr="007156A4" w:rsidRDefault="000C1C4E" w:rsidP="000C1C4E">
      <w:pPr>
        <w:pStyle w:val="Nagwek1"/>
        <w:spacing w:after="165" w:line="266" w:lineRule="auto"/>
        <w:ind w:left="413" w:right="0" w:hanging="428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Ograniczenia w finansowaniu </w:t>
      </w:r>
    </w:p>
    <w:p w14:paraId="64F4B735" w14:textId="77777777" w:rsidR="000C1C4E" w:rsidRPr="007156A4" w:rsidRDefault="000C1C4E" w:rsidP="000C1C4E">
      <w:pPr>
        <w:numPr>
          <w:ilvl w:val="0"/>
          <w:numId w:val="15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Finansowanie zakupu gruntów niezabudowanych i zabudowanych w ramach finansowanej inwestycji możliwe jest do wysokości 10 % środków wypłaconych na rzecz Ostatecznego Odbiorcy. </w:t>
      </w:r>
    </w:p>
    <w:p w14:paraId="1B25608C" w14:textId="77777777" w:rsidR="000C1C4E" w:rsidRPr="007156A4" w:rsidRDefault="000C1C4E" w:rsidP="000C1C4E">
      <w:pPr>
        <w:numPr>
          <w:ilvl w:val="0"/>
          <w:numId w:val="15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lastRenderedPageBreak/>
        <w:t xml:space="preserve">Finansowanie kapitału obrotowego jest możliwe, przy czym przeznaczenie kapitału obrotowego jest bezpośrednio związane z realizacją przedsięwzięcia przyczyniających się do tworzenia warunków sprzyjających budowie konkurencyjnego sektora MŚP.   </w:t>
      </w:r>
    </w:p>
    <w:p w14:paraId="03F58ABE" w14:textId="77777777" w:rsidR="000C1C4E" w:rsidRPr="007156A4" w:rsidRDefault="000C1C4E" w:rsidP="000C1C4E">
      <w:pPr>
        <w:numPr>
          <w:ilvl w:val="0"/>
          <w:numId w:val="15"/>
        </w:numPr>
        <w:spacing w:after="128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Środki Mikropożyczki nie mogą nakładać się finansowaniem z Europejskich Funduszy Strukturalnych i Inwestycyjnych, z innych funduszy, programów, środków i instrumentów Unii Europejskiej, a także innych źródeł pomocy krajowej i zagranicznej. </w:t>
      </w:r>
    </w:p>
    <w:p w14:paraId="7DD8511E" w14:textId="77777777" w:rsidR="000C1C4E" w:rsidRPr="007156A4" w:rsidRDefault="000C1C4E" w:rsidP="000C1C4E">
      <w:pPr>
        <w:spacing w:after="170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 </w:t>
      </w:r>
    </w:p>
    <w:p w14:paraId="6EACF1A5" w14:textId="77777777" w:rsidR="000C1C4E" w:rsidRPr="007156A4" w:rsidRDefault="000C1C4E" w:rsidP="000C1C4E">
      <w:pPr>
        <w:pStyle w:val="Nagwek1"/>
        <w:spacing w:after="165" w:line="266" w:lineRule="auto"/>
        <w:ind w:left="413" w:right="0" w:hanging="428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Zasady odpłatności za udzielenie Mikropożyczki </w:t>
      </w:r>
    </w:p>
    <w:p w14:paraId="7BBF299E" w14:textId="77777777" w:rsidR="000C1C4E" w:rsidRPr="007156A4" w:rsidRDefault="000C1C4E" w:rsidP="000C1C4E">
      <w:pPr>
        <w:tabs>
          <w:tab w:val="center" w:pos="2307"/>
        </w:tabs>
        <w:rPr>
          <w:rFonts w:asciiTheme="minorHAnsi" w:hAnsiTheme="minorHAnsi"/>
        </w:rPr>
      </w:pPr>
      <w:r w:rsidRPr="007156A4">
        <w:rPr>
          <w:rFonts w:asciiTheme="minorHAnsi" w:hAnsiTheme="minorHAnsi"/>
        </w:rPr>
        <w:t>1.</w:t>
      </w:r>
      <w:r w:rsidRPr="007156A4">
        <w:rPr>
          <w:rFonts w:asciiTheme="minorHAnsi" w:eastAsia="Arial" w:hAnsiTheme="minorHAnsi" w:cs="Arial"/>
        </w:rPr>
        <w:t xml:space="preserve"> </w:t>
      </w:r>
      <w:r w:rsidRPr="007156A4">
        <w:rPr>
          <w:rFonts w:asciiTheme="minorHAnsi" w:eastAsia="Arial" w:hAnsiTheme="minorHAnsi" w:cs="Arial"/>
        </w:rPr>
        <w:tab/>
      </w:r>
      <w:r w:rsidRPr="007156A4">
        <w:rPr>
          <w:rFonts w:asciiTheme="minorHAnsi" w:hAnsiTheme="minorHAnsi"/>
        </w:rPr>
        <w:t xml:space="preserve">Mikropożyczka może być oprocentowana: </w:t>
      </w:r>
    </w:p>
    <w:p w14:paraId="6FAC9B24" w14:textId="77777777" w:rsidR="000C1C4E" w:rsidRPr="007156A4" w:rsidRDefault="000C1C4E" w:rsidP="000C1C4E">
      <w:pPr>
        <w:spacing w:after="128"/>
        <w:ind w:left="989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>1)</w:t>
      </w:r>
      <w:r w:rsidRPr="007156A4">
        <w:rPr>
          <w:rFonts w:asciiTheme="minorHAnsi" w:eastAsia="Arial" w:hAnsiTheme="minorHAnsi" w:cs="Arial"/>
          <w:b/>
        </w:rPr>
        <w:t xml:space="preserve"> </w:t>
      </w:r>
      <w:r w:rsidRPr="007156A4">
        <w:rPr>
          <w:rFonts w:asciiTheme="minorHAnsi" w:hAnsiTheme="minorHAnsi"/>
          <w:b/>
        </w:rPr>
        <w:t>na warunkach rynkowych</w:t>
      </w:r>
      <w:r w:rsidRPr="007156A4">
        <w:rPr>
          <w:rFonts w:asciiTheme="minorHAnsi" w:hAnsiTheme="minorHAnsi"/>
        </w:rPr>
        <w:t xml:space="preserve">, </w:t>
      </w:r>
      <w:r w:rsidRPr="007156A4">
        <w:rPr>
          <w:rFonts w:asciiTheme="minorHAnsi" w:hAnsiTheme="minorHAnsi"/>
          <w:u w:val="single" w:color="000000"/>
        </w:rPr>
        <w:t>według stopy referencyjnej</w:t>
      </w:r>
      <w:r w:rsidRPr="007156A4">
        <w:rPr>
          <w:rFonts w:asciiTheme="minorHAnsi" w:hAnsiTheme="minorHAnsi"/>
        </w:rPr>
        <w:t xml:space="preserve"> obliczanej przy zastosowaniu obowiązującej stopy bazowej oraz marży ustalonej w oparciu o Komunikat Komisji Europejskiej w sprawie zmiany metody ustalania stóp referencyjnych i dyskontowych</w:t>
      </w:r>
      <w:r w:rsidRPr="007156A4">
        <w:rPr>
          <w:rFonts w:asciiTheme="minorHAnsi" w:hAnsiTheme="minorHAnsi"/>
          <w:i/>
        </w:rPr>
        <w:t xml:space="preserve"> </w:t>
      </w:r>
      <w:r w:rsidRPr="007156A4">
        <w:rPr>
          <w:rFonts w:asciiTheme="minorHAnsi" w:hAnsiTheme="minorHAnsi"/>
        </w:rPr>
        <w:t xml:space="preserve">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 </w:t>
      </w:r>
    </w:p>
    <w:p w14:paraId="4BC8A0F3" w14:textId="77777777" w:rsidR="000C1C4E" w:rsidRPr="007156A4" w:rsidRDefault="000C1C4E" w:rsidP="000C1C4E">
      <w:pPr>
        <w:spacing w:after="129" w:line="266" w:lineRule="auto"/>
        <w:ind w:left="1004" w:hanging="10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 xml:space="preserve">Stopa bazowa publikowana jest przez Komisję Europejską w dzienniku Urzędowym Unii Europejskiej i dostępna jest na stronie:  </w:t>
      </w:r>
    </w:p>
    <w:p w14:paraId="6AD36144" w14:textId="77777777" w:rsidR="000C1C4E" w:rsidRPr="007156A4" w:rsidRDefault="00FB55AC" w:rsidP="000C1C4E">
      <w:pPr>
        <w:spacing w:line="383" w:lineRule="auto"/>
        <w:ind w:left="989" w:right="1214" w:hanging="10"/>
        <w:rPr>
          <w:rFonts w:asciiTheme="minorHAnsi" w:hAnsiTheme="minorHAnsi"/>
        </w:rPr>
      </w:pPr>
      <w:hyperlink r:id="rId7">
        <w:r w:rsidR="000C1C4E" w:rsidRPr="007156A4">
          <w:rPr>
            <w:rFonts w:asciiTheme="minorHAnsi" w:hAnsiTheme="minorHAnsi"/>
            <w:color w:val="0000FF"/>
            <w:u w:val="single" w:color="0000FF"/>
          </w:rPr>
          <w:t>http://ec.europa.eu/competition/state_aid/legislation/reference_rates.html</w:t>
        </w:r>
      </w:hyperlink>
      <w:hyperlink r:id="rId8">
        <w:r w:rsidR="000C1C4E" w:rsidRPr="007156A4">
          <w:rPr>
            <w:rFonts w:asciiTheme="minorHAnsi" w:hAnsiTheme="minorHAnsi"/>
          </w:rPr>
          <w:t xml:space="preserve"> </w:t>
        </w:r>
      </w:hyperlink>
      <w:r w:rsidR="000C1C4E" w:rsidRPr="007156A4">
        <w:rPr>
          <w:rFonts w:asciiTheme="minorHAnsi" w:hAnsiTheme="minorHAnsi"/>
        </w:rPr>
        <w:t xml:space="preserve">oraz </w:t>
      </w:r>
    </w:p>
    <w:p w14:paraId="4A47697C" w14:textId="77777777" w:rsidR="000C1C4E" w:rsidRPr="007156A4" w:rsidRDefault="00FB55AC" w:rsidP="000C1C4E">
      <w:pPr>
        <w:spacing w:line="259" w:lineRule="auto"/>
        <w:ind w:left="989" w:right="2726" w:hanging="10"/>
        <w:rPr>
          <w:rFonts w:asciiTheme="minorHAnsi" w:hAnsiTheme="minorHAnsi"/>
        </w:rPr>
      </w:pPr>
      <w:hyperlink r:id="rId9">
        <w:r w:rsidR="000C1C4E" w:rsidRPr="007156A4">
          <w:rPr>
            <w:rFonts w:asciiTheme="minorHAnsi" w:hAnsiTheme="minorHAnsi"/>
            <w:color w:val="0000FF"/>
            <w:u w:val="single" w:color="0000FF"/>
          </w:rPr>
          <w:t>https://uokik.gov.pl/stopa_referencyjna_i_archiwum.php</w:t>
        </w:r>
      </w:hyperlink>
      <w:hyperlink r:id="rId10">
        <w:r w:rsidR="000C1C4E" w:rsidRPr="007156A4">
          <w:rPr>
            <w:rFonts w:asciiTheme="minorHAnsi" w:hAnsiTheme="minorHAnsi"/>
          </w:rPr>
          <w:t xml:space="preserve"> </w:t>
        </w:r>
      </w:hyperlink>
      <w:r w:rsidR="000C1C4E" w:rsidRPr="007156A4">
        <w:rPr>
          <w:rFonts w:asciiTheme="minorHAnsi" w:hAnsiTheme="minorHAnsi"/>
          <w:b/>
        </w:rPr>
        <w:t xml:space="preserve">Marża jest ustalana w następujący sposób: </w:t>
      </w:r>
    </w:p>
    <w:tbl>
      <w:tblPr>
        <w:tblW w:w="8313" w:type="dxa"/>
        <w:tblInd w:w="1044" w:type="dxa"/>
        <w:tblCellMar>
          <w:top w:w="48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3776"/>
        <w:gridCol w:w="1560"/>
        <w:gridCol w:w="1560"/>
        <w:gridCol w:w="1417"/>
      </w:tblGrid>
      <w:tr w:rsidR="000C1C4E" w:rsidRPr="007156A4" w14:paraId="4B11252B" w14:textId="77777777" w:rsidTr="005C0636">
        <w:trPr>
          <w:trHeight w:val="439"/>
        </w:trPr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A69696" w14:textId="77777777" w:rsidR="000C1C4E" w:rsidRPr="007156A4" w:rsidRDefault="000C1C4E" w:rsidP="005C0636">
            <w:pPr>
              <w:spacing w:line="259" w:lineRule="auto"/>
              <w:ind w:left="2381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Marża kredytów w punktach bazowych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B87C" w14:textId="77777777" w:rsidR="000C1C4E" w:rsidRPr="007156A4" w:rsidRDefault="000C1C4E" w:rsidP="005C063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C1C4E" w:rsidRPr="007156A4" w14:paraId="0A90AB28" w14:textId="77777777" w:rsidTr="005C0636">
        <w:trPr>
          <w:trHeight w:val="437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BE55" w14:textId="77777777" w:rsidR="000C1C4E" w:rsidRPr="007156A4" w:rsidRDefault="000C1C4E" w:rsidP="005C0636">
            <w:pPr>
              <w:spacing w:line="259" w:lineRule="auto"/>
              <w:ind w:left="36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Kategoria ratingu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51C050" w14:textId="77777777" w:rsidR="000C1C4E" w:rsidRPr="007156A4" w:rsidRDefault="000C1C4E" w:rsidP="005C0636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Poziom </w:t>
            </w:r>
            <w:proofErr w:type="spellStart"/>
            <w:r w:rsidRPr="007156A4">
              <w:rPr>
                <w:rFonts w:asciiTheme="minorHAnsi" w:hAnsiTheme="minorHAnsi"/>
                <w:b/>
              </w:rPr>
              <w:t>zabezpiecze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733D" w14:textId="77777777" w:rsidR="000C1C4E" w:rsidRPr="007156A4" w:rsidRDefault="000C1C4E" w:rsidP="005C0636">
            <w:pPr>
              <w:spacing w:line="259" w:lineRule="auto"/>
              <w:ind w:left="-6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ń </w:t>
            </w:r>
          </w:p>
        </w:tc>
      </w:tr>
      <w:tr w:rsidR="000C1C4E" w:rsidRPr="007156A4" w14:paraId="2B66DB75" w14:textId="77777777" w:rsidTr="005C0636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C64A" w14:textId="77777777" w:rsidR="000C1C4E" w:rsidRPr="007156A4" w:rsidRDefault="000C1C4E" w:rsidP="005C0636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FDE4" w14:textId="77777777" w:rsidR="000C1C4E" w:rsidRPr="007156A4" w:rsidRDefault="000C1C4E" w:rsidP="005C0636">
            <w:pPr>
              <w:spacing w:line="259" w:lineRule="auto"/>
              <w:ind w:left="4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Wysoki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FB27" w14:textId="77777777" w:rsidR="000C1C4E" w:rsidRPr="007156A4" w:rsidRDefault="000C1C4E" w:rsidP="005C0636">
            <w:pPr>
              <w:spacing w:line="259" w:lineRule="auto"/>
              <w:ind w:left="170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Standardowy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F384" w14:textId="77777777" w:rsidR="000C1C4E" w:rsidRPr="007156A4" w:rsidRDefault="000C1C4E" w:rsidP="005C0636">
            <w:pPr>
              <w:spacing w:line="259" w:lineRule="auto"/>
              <w:ind w:left="3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  <w:b/>
              </w:rPr>
              <w:t xml:space="preserve">Niski </w:t>
            </w:r>
          </w:p>
        </w:tc>
      </w:tr>
      <w:tr w:rsidR="000C1C4E" w:rsidRPr="007156A4" w14:paraId="0C760798" w14:textId="77777777" w:rsidTr="005C0636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DC71" w14:textId="77777777" w:rsidR="000C1C4E" w:rsidRPr="007156A4" w:rsidRDefault="000C1C4E" w:rsidP="005C0636">
            <w:pPr>
              <w:spacing w:line="259" w:lineRule="auto"/>
              <w:ind w:left="103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Wysoki (AAA-A)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92B9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9B79" w14:textId="77777777" w:rsidR="000C1C4E" w:rsidRPr="007156A4" w:rsidRDefault="000C1C4E" w:rsidP="005C0636">
            <w:pPr>
              <w:spacing w:line="259" w:lineRule="auto"/>
              <w:ind w:left="38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49BF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100 </w:t>
            </w:r>
          </w:p>
        </w:tc>
      </w:tr>
      <w:tr w:rsidR="000C1C4E" w:rsidRPr="007156A4" w14:paraId="6CA59401" w14:textId="77777777" w:rsidTr="005C0636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1894" w14:textId="77777777" w:rsidR="000C1C4E" w:rsidRPr="007156A4" w:rsidRDefault="000C1C4E" w:rsidP="005C0636">
            <w:pPr>
              <w:spacing w:line="259" w:lineRule="auto"/>
              <w:ind w:left="103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Dobry (BBB)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AEBE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AC15" w14:textId="77777777" w:rsidR="000C1C4E" w:rsidRPr="007156A4" w:rsidRDefault="000C1C4E" w:rsidP="005C0636">
            <w:pPr>
              <w:spacing w:line="259" w:lineRule="auto"/>
              <w:ind w:left="38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B2C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220 </w:t>
            </w:r>
          </w:p>
        </w:tc>
      </w:tr>
      <w:tr w:rsidR="000C1C4E" w:rsidRPr="007156A4" w14:paraId="0C74B4CD" w14:textId="77777777" w:rsidTr="005C0636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CF38" w14:textId="77777777" w:rsidR="000C1C4E" w:rsidRPr="007156A4" w:rsidRDefault="000C1C4E" w:rsidP="005C0636">
            <w:pPr>
              <w:spacing w:line="259" w:lineRule="auto"/>
              <w:ind w:left="103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Zadowalający (BB)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5DB3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8B5F" w14:textId="77777777" w:rsidR="000C1C4E" w:rsidRPr="007156A4" w:rsidRDefault="000C1C4E" w:rsidP="005C0636">
            <w:pPr>
              <w:spacing w:line="259" w:lineRule="auto"/>
              <w:ind w:left="38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220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9234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400 </w:t>
            </w:r>
          </w:p>
        </w:tc>
      </w:tr>
      <w:tr w:rsidR="000C1C4E" w:rsidRPr="007156A4" w14:paraId="18B50B55" w14:textId="77777777" w:rsidTr="005C0636">
        <w:trPr>
          <w:trHeight w:val="4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E321" w14:textId="77777777" w:rsidR="000C1C4E" w:rsidRPr="007156A4" w:rsidRDefault="000C1C4E" w:rsidP="005C0636">
            <w:pPr>
              <w:spacing w:line="259" w:lineRule="auto"/>
              <w:ind w:left="103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Niski (B)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DD8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220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1DD4" w14:textId="77777777" w:rsidR="000C1C4E" w:rsidRPr="007156A4" w:rsidRDefault="000C1C4E" w:rsidP="005C0636">
            <w:pPr>
              <w:spacing w:line="259" w:lineRule="auto"/>
              <w:ind w:left="38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400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1700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650 </w:t>
            </w:r>
          </w:p>
        </w:tc>
      </w:tr>
      <w:tr w:rsidR="000C1C4E" w:rsidRPr="007156A4" w14:paraId="120A43A5" w14:textId="77777777" w:rsidTr="005C0636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756C" w14:textId="77777777" w:rsidR="000C1C4E" w:rsidRPr="007156A4" w:rsidRDefault="000C1C4E" w:rsidP="005C0636">
            <w:pPr>
              <w:spacing w:line="259" w:lineRule="auto"/>
              <w:ind w:left="103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Zły/Trudności finansowe (CCC i poniżej)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9D40" w14:textId="77777777" w:rsidR="000C1C4E" w:rsidRPr="007156A4" w:rsidRDefault="000C1C4E" w:rsidP="005C0636">
            <w:pPr>
              <w:spacing w:line="259" w:lineRule="auto"/>
              <w:ind w:left="39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AB8A" w14:textId="77777777" w:rsidR="000C1C4E" w:rsidRPr="007156A4" w:rsidRDefault="000C1C4E" w:rsidP="005C0636">
            <w:pPr>
              <w:spacing w:line="259" w:lineRule="auto"/>
              <w:ind w:left="38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650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C0C0" w14:textId="77777777" w:rsidR="000C1C4E" w:rsidRPr="007156A4" w:rsidRDefault="000C1C4E" w:rsidP="005C0636">
            <w:pPr>
              <w:spacing w:line="259" w:lineRule="auto"/>
              <w:ind w:left="36"/>
              <w:jc w:val="center"/>
              <w:rPr>
                <w:rFonts w:asciiTheme="minorHAnsi" w:hAnsiTheme="minorHAnsi"/>
              </w:rPr>
            </w:pPr>
            <w:r w:rsidRPr="007156A4">
              <w:rPr>
                <w:rFonts w:asciiTheme="minorHAnsi" w:hAnsiTheme="minorHAnsi"/>
              </w:rPr>
              <w:t xml:space="preserve">1000 </w:t>
            </w:r>
          </w:p>
        </w:tc>
      </w:tr>
    </w:tbl>
    <w:p w14:paraId="2ED1C5C4" w14:textId="77777777" w:rsidR="000C1C4E" w:rsidRPr="007156A4" w:rsidRDefault="000C1C4E" w:rsidP="000C1C4E">
      <w:pPr>
        <w:spacing w:after="119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</w:t>
      </w:r>
    </w:p>
    <w:p w14:paraId="409CCC37" w14:textId="77777777" w:rsidR="000C1C4E" w:rsidRPr="007156A4" w:rsidRDefault="000C1C4E" w:rsidP="00983D6F">
      <w:pPr>
        <w:spacing w:after="123" w:line="274" w:lineRule="auto"/>
        <w:ind w:left="989" w:right="136" w:hanging="1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Pod pojęciem „standardowy poziom zabezpieczeń” należy rozumieć poziom zabezpieczeń, jakiego zwyczajowo wymagają instytucje finansowe z tytułu gwarancji dla udzielanych kredytów.  </w:t>
      </w:r>
    </w:p>
    <w:p w14:paraId="5A5335EB" w14:textId="77777777" w:rsidR="000C1C4E" w:rsidRPr="007156A4" w:rsidRDefault="000C1C4E" w:rsidP="00983D6F">
      <w:pPr>
        <w:spacing w:after="123" w:line="274" w:lineRule="auto"/>
        <w:ind w:left="989" w:right="136" w:hanging="1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Poziom zabezpieczeń może być mierzony jako strata z tytułu niewywiązywania się z płatności (ang. </w:t>
      </w:r>
      <w:proofErr w:type="spellStart"/>
      <w:r w:rsidRPr="007156A4">
        <w:rPr>
          <w:rFonts w:asciiTheme="minorHAnsi" w:hAnsiTheme="minorHAnsi"/>
        </w:rPr>
        <w:t>Loss</w:t>
      </w:r>
      <w:proofErr w:type="spellEnd"/>
      <w:r w:rsidRPr="007156A4">
        <w:rPr>
          <w:rFonts w:asciiTheme="minorHAnsi" w:hAnsiTheme="minorHAnsi"/>
        </w:rPr>
        <w:t xml:space="preserve"> </w:t>
      </w:r>
      <w:proofErr w:type="spellStart"/>
      <w:r w:rsidRPr="007156A4">
        <w:rPr>
          <w:rFonts w:asciiTheme="minorHAnsi" w:hAnsiTheme="minorHAnsi"/>
        </w:rPr>
        <w:t>Given</w:t>
      </w:r>
      <w:proofErr w:type="spellEnd"/>
      <w:r w:rsidRPr="007156A4">
        <w:rPr>
          <w:rFonts w:asciiTheme="minorHAnsi" w:hAnsiTheme="minorHAnsi"/>
        </w:rPr>
        <w:t xml:space="preserve"> </w:t>
      </w:r>
      <w:proofErr w:type="spellStart"/>
      <w:r w:rsidRPr="007156A4">
        <w:rPr>
          <w:rFonts w:asciiTheme="minorHAnsi" w:hAnsiTheme="minorHAnsi"/>
        </w:rPr>
        <w:t>Default</w:t>
      </w:r>
      <w:proofErr w:type="spellEnd"/>
      <w:r w:rsidRPr="007156A4">
        <w:rPr>
          <w:rFonts w:asciiTheme="minorHAnsi" w:hAnsiTheme="minorHAnsi"/>
        </w:rPr>
        <w:t xml:space="preserve"> — LGD), czyli oczekiwana, wyrażona w procentach strata w łącznej kwocie kredytu dłużnika, przy uwzględnieniu możliwych do odzyskania kwot pochodzących z zabezpieczeń i masy upadłościowej; w konsekwencji LGD jest odwrotnie proporcjonalne do ważności zabezpieczeń. </w:t>
      </w:r>
    </w:p>
    <w:p w14:paraId="45484D57" w14:textId="77777777" w:rsidR="000C1C4E" w:rsidRPr="007156A4" w:rsidRDefault="000C1C4E" w:rsidP="00983D6F">
      <w:pPr>
        <w:spacing w:after="123" w:line="274" w:lineRule="auto"/>
        <w:ind w:left="989" w:right="136" w:hanging="1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 </w:t>
      </w:r>
    </w:p>
    <w:p w14:paraId="01CBDBB3" w14:textId="77777777" w:rsidR="000C1C4E" w:rsidRPr="007156A4" w:rsidRDefault="000C1C4E" w:rsidP="00983D6F">
      <w:pPr>
        <w:spacing w:after="123" w:line="274" w:lineRule="auto"/>
        <w:ind w:left="989" w:right="136" w:hanging="1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lastRenderedPageBreak/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 w odniesieniu do spółki dominującej. </w:t>
      </w:r>
    </w:p>
    <w:p w14:paraId="04B81462" w14:textId="77777777" w:rsidR="000C1C4E" w:rsidRPr="007156A4" w:rsidRDefault="000C1C4E" w:rsidP="00983D6F">
      <w:pPr>
        <w:spacing w:after="151" w:line="274" w:lineRule="auto"/>
        <w:ind w:left="989" w:right="136" w:hanging="10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Rating nie musi pochodzić z konkretnych agencji ratingowych — akceptowane są również krajowe systemy ratingowe lub systemy ratingowe stosowane przez banki w celu odzwierciedlenia wskaźników niewypłacalności. </w:t>
      </w:r>
    </w:p>
    <w:p w14:paraId="24F2A97B" w14:textId="77777777" w:rsidR="000C1C4E" w:rsidRPr="007156A4" w:rsidRDefault="000C1C4E" w:rsidP="00983D6F">
      <w:pPr>
        <w:spacing w:after="125"/>
        <w:ind w:left="989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  <w:b/>
        </w:rPr>
        <w:t>2)</w:t>
      </w:r>
      <w:r w:rsidRPr="007156A4">
        <w:rPr>
          <w:rFonts w:asciiTheme="minorHAnsi" w:eastAsia="Arial" w:hAnsiTheme="minorHAnsi" w:cs="Arial"/>
          <w:b/>
        </w:rPr>
        <w:t xml:space="preserve"> </w:t>
      </w:r>
      <w:r w:rsidRPr="007156A4">
        <w:rPr>
          <w:rFonts w:asciiTheme="minorHAnsi" w:hAnsiTheme="minorHAnsi"/>
          <w:b/>
        </w:rPr>
        <w:t xml:space="preserve">na warunkach korzystniejszych niż rynkowe, </w:t>
      </w:r>
      <w:r w:rsidRPr="007156A4">
        <w:rPr>
          <w:rFonts w:asciiTheme="minorHAnsi" w:hAnsiTheme="minorHAnsi"/>
        </w:rPr>
        <w:t xml:space="preserve">zgodnie z zasadami udzielania pomocy de minimis, o których mowa w Rozporządzeniu Komisji 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 </w:t>
      </w:r>
    </w:p>
    <w:p w14:paraId="0C5C8ECC" w14:textId="77777777" w:rsidR="000C1C4E" w:rsidRPr="007156A4" w:rsidRDefault="000C1C4E" w:rsidP="00983D6F">
      <w:pPr>
        <w:ind w:left="994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>Oprocentowanie Mikropożyczki udzielanej na zasadach korzystniejszych niż rynkowe jest stałe w całym okresie jej obowiązywania i ustalane jest przy zastosowaniu stopy procentowej w wysokości</w:t>
      </w:r>
      <w:r w:rsidRPr="007156A4">
        <w:rPr>
          <w:rFonts w:asciiTheme="minorHAnsi" w:hAnsiTheme="minorHAnsi"/>
          <w:b/>
        </w:rPr>
        <w:t xml:space="preserve"> stopy bazowej </w:t>
      </w:r>
      <w:r w:rsidRPr="007156A4">
        <w:rPr>
          <w:rFonts w:asciiTheme="minorHAnsi" w:hAnsiTheme="minorHAnsi"/>
        </w:rPr>
        <w:t xml:space="preserve">dla pożyczek udzielanych w złotych polskich z dnia udzielenia, przy czym wysokość stopy bazowej określona jest przez Komisję Europejską zgodnie z Komunikatem w sprawie zmiany metody ustalania stóp referencyjnych i dyskontowych nr 2008/C 14/02 o którym mowa w </w:t>
      </w:r>
      <w:proofErr w:type="spellStart"/>
      <w:r w:rsidRPr="007156A4">
        <w:rPr>
          <w:rFonts w:asciiTheme="minorHAnsi" w:hAnsiTheme="minorHAnsi"/>
        </w:rPr>
        <w:t>ppkt</w:t>
      </w:r>
      <w:proofErr w:type="spellEnd"/>
      <w:r w:rsidRPr="007156A4">
        <w:rPr>
          <w:rFonts w:asciiTheme="minorHAnsi" w:hAnsiTheme="minorHAnsi"/>
        </w:rPr>
        <w:t xml:space="preserve"> 1) powyżej. </w:t>
      </w:r>
    </w:p>
    <w:p w14:paraId="55DED866" w14:textId="77777777" w:rsidR="000C1C4E" w:rsidRPr="007156A4" w:rsidRDefault="000C1C4E" w:rsidP="00983D6F">
      <w:pPr>
        <w:numPr>
          <w:ilvl w:val="0"/>
          <w:numId w:val="16"/>
        </w:numPr>
        <w:spacing w:after="162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W przypadku niespełnienia przez Ostatecznego Odbiorcę jakiegokolwiek z warunków umożliwiających udzielenie pomocy de minimis finansowanie jest udzielane na zasadach rynkowych. </w:t>
      </w:r>
    </w:p>
    <w:p w14:paraId="6120B0A9" w14:textId="77777777" w:rsidR="000C1C4E" w:rsidRPr="007156A4" w:rsidRDefault="000C1C4E" w:rsidP="000C1C4E">
      <w:pPr>
        <w:numPr>
          <w:ilvl w:val="0"/>
          <w:numId w:val="16"/>
        </w:numPr>
        <w:spacing w:after="128" w:line="267" w:lineRule="auto"/>
        <w:ind w:hanging="428"/>
        <w:jc w:val="both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Od środków Mikropożyczki nie pobiera się żadnych opłat i prowizji związanych z ich udostępnieniem i obsługą. Powyższe nie dotyczy odrębnie uregulowanych czynności windykacyjnych. </w:t>
      </w:r>
    </w:p>
    <w:p w14:paraId="3E261F42" w14:textId="77777777" w:rsidR="000C1C4E" w:rsidRPr="007156A4" w:rsidRDefault="000C1C4E" w:rsidP="000C1C4E">
      <w:pPr>
        <w:spacing w:line="419" w:lineRule="auto"/>
        <w:ind w:right="9453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 </w:t>
      </w:r>
    </w:p>
    <w:p w14:paraId="5789F4FA" w14:textId="071AF849" w:rsidR="000C1C4E" w:rsidRPr="007156A4" w:rsidRDefault="000C1C4E" w:rsidP="000C1C4E">
      <w:pPr>
        <w:spacing w:after="35" w:line="259" w:lineRule="auto"/>
        <w:ind w:left="-108"/>
        <w:rPr>
          <w:rFonts w:asciiTheme="minorHAnsi" w:hAnsiTheme="minorHAnsi"/>
        </w:rPr>
      </w:pPr>
      <w:r w:rsidRPr="007156A4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23E1C33D" wp14:editId="3388185A">
                <wp:extent cx="2039620" cy="6350"/>
                <wp:effectExtent l="0" t="0" r="17780" b="12700"/>
                <wp:docPr id="4592" name="Grupa 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6F3F3" id="Grupa 4592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">
                <v:shape id="Shape 802" o:spid="_x0000_s1027" style="position:absolute;width:20397;height:0;visibility:visible;mso-wrap-style:square;v-text-anchor:top" coordsize="203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oWsQA&#10;AADcAAAADwAAAGRycy9kb3ducmV2LnhtbESPwWrDMBBE74X+g9hCb41cH0pwLJsQCE1vjVsHclus&#10;je3EWhlJiZ2/rwqFHoeZecPk5WwGcSPne8sKXhcJCOLG6p5bBd9f25clCB+QNQ6WScGdPJTF40OO&#10;mbYT7+lWhVZECPsMFXQhjJmUvunIoF/YkTh6J+sMhihdK7XDKcLNINMkeZMGe44LHY606ai5VFej&#10;4PDu5VxfTT2cP47petc6+jw5pZ6f5vUKRKA5/If/2jutYJmk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qFrEAAAA3AAAAA8AAAAAAAAAAAAAAAAAmAIAAGRycy9k&#10;b3ducmV2LnhtbFBLBQYAAAAABAAEAPUAAACJAwAAAAA=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6287F808" w14:textId="77777777" w:rsidR="000C1C4E" w:rsidRPr="007156A4" w:rsidRDefault="000C1C4E" w:rsidP="000C1C4E">
      <w:pPr>
        <w:spacing w:after="160" w:line="259" w:lineRule="auto"/>
        <w:ind w:left="-5" w:hanging="10"/>
        <w:rPr>
          <w:rFonts w:asciiTheme="minorHAnsi" w:hAnsiTheme="minorHAnsi"/>
        </w:rPr>
      </w:pPr>
      <w:r w:rsidRPr="007156A4">
        <w:rPr>
          <w:rFonts w:asciiTheme="minorHAnsi" w:hAnsiTheme="minorHAnsi"/>
          <w:sz w:val="16"/>
        </w:rPr>
        <w:t xml:space="preserve">Podpis Pośrednika Finansowego </w:t>
      </w:r>
    </w:p>
    <w:p w14:paraId="15432340" w14:textId="77777777" w:rsidR="000C1C4E" w:rsidRPr="007156A4" w:rsidRDefault="000C1C4E" w:rsidP="000C1C4E">
      <w:pPr>
        <w:spacing w:after="139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</w:t>
      </w:r>
    </w:p>
    <w:p w14:paraId="4BAC07A5" w14:textId="77777777" w:rsidR="000C1C4E" w:rsidRPr="007156A4" w:rsidRDefault="000C1C4E" w:rsidP="000C1C4E">
      <w:pPr>
        <w:spacing w:after="139" w:line="259" w:lineRule="auto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</w:t>
      </w:r>
    </w:p>
    <w:p w14:paraId="21AE2407" w14:textId="77777777" w:rsidR="000C1C4E" w:rsidRPr="007156A4" w:rsidRDefault="000C1C4E" w:rsidP="000C1C4E">
      <w:pPr>
        <w:spacing w:after="129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Oświadczam, iż zapoznałem się z treścią niniejszego dokumentu: </w:t>
      </w:r>
    </w:p>
    <w:p w14:paraId="30A8E747" w14:textId="77777777" w:rsidR="000C1C4E" w:rsidRPr="007156A4" w:rsidRDefault="000C1C4E" w:rsidP="000C1C4E">
      <w:pPr>
        <w:spacing w:line="419" w:lineRule="auto"/>
        <w:ind w:right="9453"/>
        <w:rPr>
          <w:rFonts w:asciiTheme="minorHAnsi" w:hAnsiTheme="minorHAnsi"/>
        </w:rPr>
      </w:pPr>
      <w:r w:rsidRPr="007156A4">
        <w:rPr>
          <w:rFonts w:asciiTheme="minorHAnsi" w:hAnsiTheme="minorHAnsi"/>
        </w:rPr>
        <w:t xml:space="preserve">  </w:t>
      </w:r>
    </w:p>
    <w:p w14:paraId="5ABD5440" w14:textId="1B73B635" w:rsidR="000C1C4E" w:rsidRPr="007156A4" w:rsidRDefault="000C1C4E" w:rsidP="000C1C4E">
      <w:pPr>
        <w:spacing w:after="35" w:line="259" w:lineRule="auto"/>
        <w:ind w:left="-108"/>
        <w:rPr>
          <w:rFonts w:asciiTheme="minorHAnsi" w:hAnsiTheme="minorHAnsi"/>
        </w:rPr>
      </w:pPr>
      <w:r w:rsidRPr="007156A4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270BCE42" wp14:editId="4B01B46E">
                <wp:extent cx="2039620" cy="6350"/>
                <wp:effectExtent l="0" t="0" r="17780" b="12700"/>
                <wp:docPr id="4593" name="Grupa 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723F8" id="Grupa 4593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">
                <v:shape id="Shape 813" o:spid="_x0000_s1027" style="position:absolute;width:20397;height:0;visibility:visible;mso-wrap-style:square;v-text-anchor:top" coordsize="203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bHMUA&#10;AADcAAAADwAAAGRycy9kb3ducmV2LnhtbESPzWrDMBCE74W8g9hAb42cFEpwIpsQKE1vrZsEclus&#10;je3EWhlJ/unbV4VCj8PMfMNs88m0YiDnG8sKlosEBHFpdcOVguPX69MahA/IGlvLpOCbPOTZ7GGL&#10;qbYjf9JQhEpECPsUFdQhdKmUvqzJoF/Yjjh6V+sMhihdJbXDMcJNK1dJ8iINNhwXauxoX1N5L3qj&#10;4Pzm5XTqzam9vV9Wu0Pl6OPqlHqcT7sNiEBT+A//tQ9awXr5DL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JscxQAAANwAAAAPAAAAAAAAAAAAAAAAAJgCAABkcnMv&#10;ZG93bnJldi54bWxQSwUGAAAAAAQABAD1AAAAigMAAAAA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2C5603B4" w14:textId="77777777" w:rsidR="000C1C4E" w:rsidRPr="007156A4" w:rsidRDefault="000C1C4E" w:rsidP="000C1C4E">
      <w:pPr>
        <w:spacing w:after="160" w:line="259" w:lineRule="auto"/>
        <w:ind w:left="-5" w:hanging="10"/>
        <w:rPr>
          <w:rFonts w:asciiTheme="minorHAnsi" w:hAnsiTheme="minorHAnsi"/>
        </w:rPr>
      </w:pPr>
      <w:r w:rsidRPr="007156A4">
        <w:rPr>
          <w:rFonts w:asciiTheme="minorHAnsi" w:hAnsiTheme="minorHAnsi"/>
          <w:sz w:val="16"/>
        </w:rPr>
        <w:t xml:space="preserve">Podpis Pożyczkobiorcy </w:t>
      </w:r>
    </w:p>
    <w:p w14:paraId="2D33CD0E" w14:textId="77777777" w:rsidR="00A136AB" w:rsidRPr="000C6097" w:rsidRDefault="00A136AB" w:rsidP="00A136AB">
      <w:pPr>
        <w:pStyle w:val="Tekstpodstawowywcity"/>
        <w:ind w:firstLine="0"/>
        <w:rPr>
          <w:rFonts w:ascii="Arial" w:hAnsi="Arial"/>
          <w:bCs/>
          <w:sz w:val="20"/>
        </w:rPr>
      </w:pPr>
    </w:p>
    <w:sectPr w:rsidR="00A136AB" w:rsidRPr="000C6097" w:rsidSect="00014183">
      <w:headerReference w:type="default" r:id="rId11"/>
      <w:footerReference w:type="default" r:id="rId12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6FFC" w14:textId="77777777" w:rsidR="00053564" w:rsidRDefault="00053564" w:rsidP="00AB7FCD">
      <w:r>
        <w:separator/>
      </w:r>
    </w:p>
  </w:endnote>
  <w:endnote w:type="continuationSeparator" w:id="0">
    <w:p w14:paraId="5CB60135" w14:textId="77777777" w:rsidR="00053564" w:rsidRDefault="00053564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6D36" w14:textId="77777777" w:rsidR="00FB55AC" w:rsidRDefault="00FB55AC">
    <w:pPr>
      <w:pStyle w:val="Stopka"/>
    </w:pPr>
  </w:p>
  <w:p w14:paraId="6E3BEE4C" w14:textId="608C9411" w:rsidR="00AB7FCD" w:rsidRDefault="00FB55AC" w:rsidP="00FB55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800AE5" wp14:editId="402EFBA3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4B68" w14:textId="77777777" w:rsidR="00053564" w:rsidRDefault="00053564" w:rsidP="00AB7FCD">
      <w:r>
        <w:separator/>
      </w:r>
    </w:p>
  </w:footnote>
  <w:footnote w:type="continuationSeparator" w:id="0">
    <w:p w14:paraId="539FF52F" w14:textId="77777777" w:rsidR="00053564" w:rsidRDefault="00053564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18B7" w14:textId="5413714E" w:rsidR="00C30A66" w:rsidRDefault="00C30A66" w:rsidP="00510E27">
    <w:pPr>
      <w:pStyle w:val="Nagwek"/>
    </w:pPr>
    <w:r>
      <w:ptab w:relativeTo="margin" w:alignment="center" w:leader="none"/>
    </w:r>
    <w:r w:rsidR="00FB55A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EEAEC8" wp14:editId="5AFCC3C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1D1AB2D6" w14:textId="77777777" w:rsidR="00FB55AC" w:rsidRDefault="00FB55AC" w:rsidP="00510E27">
    <w:pPr>
      <w:pStyle w:val="Nagwek"/>
    </w:pPr>
  </w:p>
  <w:p w14:paraId="244B8C11" w14:textId="77777777" w:rsidR="00FB55AC" w:rsidRDefault="00FB55AC" w:rsidP="00510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B2F"/>
    <w:multiLevelType w:val="hybridMultilevel"/>
    <w:tmpl w:val="5F52315C"/>
    <w:lvl w:ilvl="0" w:tplc="0A84E30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2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A4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D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6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A6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20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6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7120B"/>
    <w:multiLevelType w:val="hybridMultilevel"/>
    <w:tmpl w:val="4322DC8C"/>
    <w:lvl w:ilvl="0" w:tplc="9D52B95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2E7"/>
    <w:multiLevelType w:val="hybridMultilevel"/>
    <w:tmpl w:val="D35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645D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885"/>
    <w:multiLevelType w:val="hybridMultilevel"/>
    <w:tmpl w:val="3EDA90E6"/>
    <w:lvl w:ilvl="0" w:tplc="6C7E9C5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24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A3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60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465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A9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AEE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60D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A9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C2040"/>
    <w:multiLevelType w:val="hybridMultilevel"/>
    <w:tmpl w:val="CB340FA0"/>
    <w:lvl w:ilvl="0" w:tplc="EA74258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A57B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4CC04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49F7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24775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C4492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2A89E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076F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E3EAA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47AE3"/>
    <w:multiLevelType w:val="hybridMultilevel"/>
    <w:tmpl w:val="46EC25EE"/>
    <w:lvl w:ilvl="0" w:tplc="A5EC00D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6BD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66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CA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81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DF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870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AE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61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9E2258"/>
    <w:multiLevelType w:val="hybridMultilevel"/>
    <w:tmpl w:val="7BD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5B7"/>
    <w:multiLevelType w:val="hybridMultilevel"/>
    <w:tmpl w:val="A098596A"/>
    <w:lvl w:ilvl="0" w:tplc="943EAF1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8C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8973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A93F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D26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BC9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0E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A4D3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797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45AB3"/>
    <w:multiLevelType w:val="hybridMultilevel"/>
    <w:tmpl w:val="7E6C66CA"/>
    <w:lvl w:ilvl="0" w:tplc="F07C627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04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27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8F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4B2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20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040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2A5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016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8B7E5E"/>
    <w:multiLevelType w:val="hybridMultilevel"/>
    <w:tmpl w:val="64D49A8A"/>
    <w:lvl w:ilvl="0" w:tplc="43CC3D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2A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C6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1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856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8C8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4B5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86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7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DF1199"/>
    <w:multiLevelType w:val="hybridMultilevel"/>
    <w:tmpl w:val="8BFA636E"/>
    <w:lvl w:ilvl="0" w:tplc="E258E9BE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259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0AB0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0D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D74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277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8BF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0F6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6C0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E5E49"/>
    <w:multiLevelType w:val="hybridMultilevel"/>
    <w:tmpl w:val="B3F66A24"/>
    <w:lvl w:ilvl="0" w:tplc="6226A73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A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1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25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4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2A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CD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8A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EB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A84C84"/>
    <w:multiLevelType w:val="hybridMultilevel"/>
    <w:tmpl w:val="4BB840CC"/>
    <w:lvl w:ilvl="0" w:tplc="66D69C2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A55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A1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0B8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486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60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EEF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C92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C77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75730F"/>
    <w:multiLevelType w:val="hybridMultilevel"/>
    <w:tmpl w:val="D0909CD8"/>
    <w:lvl w:ilvl="0" w:tplc="8084E0B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66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1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E0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05C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C7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E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E9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536EC0"/>
    <w:multiLevelType w:val="hybridMultilevel"/>
    <w:tmpl w:val="138E8088"/>
    <w:lvl w:ilvl="0" w:tplc="50E240F6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8B7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61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AA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A1C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CDB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29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B6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EA3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8"/>
    <w:rsid w:val="00014183"/>
    <w:rsid w:val="00053564"/>
    <w:rsid w:val="000C1C4E"/>
    <w:rsid w:val="000C6097"/>
    <w:rsid w:val="00234078"/>
    <w:rsid w:val="00253C98"/>
    <w:rsid w:val="00265963"/>
    <w:rsid w:val="00367387"/>
    <w:rsid w:val="003911DA"/>
    <w:rsid w:val="0042213E"/>
    <w:rsid w:val="00436D6E"/>
    <w:rsid w:val="00485D8B"/>
    <w:rsid w:val="00486F19"/>
    <w:rsid w:val="00510E27"/>
    <w:rsid w:val="005E3DBE"/>
    <w:rsid w:val="0061749A"/>
    <w:rsid w:val="0067278A"/>
    <w:rsid w:val="006E1103"/>
    <w:rsid w:val="007156A4"/>
    <w:rsid w:val="0073757F"/>
    <w:rsid w:val="007729AD"/>
    <w:rsid w:val="0078325E"/>
    <w:rsid w:val="007C188C"/>
    <w:rsid w:val="008506C5"/>
    <w:rsid w:val="009371FE"/>
    <w:rsid w:val="00983D6F"/>
    <w:rsid w:val="009B0E33"/>
    <w:rsid w:val="009B7CEA"/>
    <w:rsid w:val="00A136AB"/>
    <w:rsid w:val="00AB7FCD"/>
    <w:rsid w:val="00B17543"/>
    <w:rsid w:val="00B30460"/>
    <w:rsid w:val="00B62D6D"/>
    <w:rsid w:val="00BA3690"/>
    <w:rsid w:val="00C30A66"/>
    <w:rsid w:val="00C52F54"/>
    <w:rsid w:val="00C74255"/>
    <w:rsid w:val="00D42587"/>
    <w:rsid w:val="00D551AE"/>
    <w:rsid w:val="00FA151E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136AB"/>
    <w:pPr>
      <w:keepNext/>
      <w:keepLines/>
      <w:numPr>
        <w:numId w:val="10"/>
      </w:numPr>
      <w:spacing w:after="164" w:line="267" w:lineRule="auto"/>
      <w:ind w:left="10" w:right="3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749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1749A"/>
    <w:rPr>
      <w:vertAlign w:val="superscript"/>
    </w:rPr>
  </w:style>
  <w:style w:type="character" w:customStyle="1" w:styleId="TekstpodstawowywcityZnak1">
    <w:name w:val="Tekst podstawowy wcięty Znak1"/>
    <w:semiHidden/>
    <w:locked/>
    <w:rsid w:val="006174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136AB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reference_rat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okik.gov.pl/stopa_referencyjna_i_archiwu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stopa_referencyjna_i_archiwum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Ania</cp:lastModifiedBy>
  <cp:revision>12</cp:revision>
  <cp:lastPrinted>2019-08-02T06:37:00Z</cp:lastPrinted>
  <dcterms:created xsi:type="dcterms:W3CDTF">2019-08-16T07:44:00Z</dcterms:created>
  <dcterms:modified xsi:type="dcterms:W3CDTF">2019-08-30T13:38:00Z</dcterms:modified>
</cp:coreProperties>
</file>